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4210EE" w:rsidRPr="004210EE">
        <w:rPr>
          <w:rFonts w:cs="Arial"/>
          <w:sz w:val="28"/>
          <w:szCs w:val="28"/>
        </w:rPr>
        <w:t>Maßstabsleiste</w:t>
      </w:r>
    </w:p>
    <w:p w:rsidR="00694A63" w:rsidRPr="00694A63" w:rsidRDefault="00694A63">
      <w:pPr>
        <w:pStyle w:val="IQB-Teilaufgabentitel"/>
        <w:rPr>
          <w:b/>
        </w:rPr>
      </w:pP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5"/>
      </w:tblGrid>
      <w:tr w:rsidR="004210EE" w:rsidTr="004210EE">
        <w:tc>
          <w:tcPr>
            <w:tcW w:w="2466" w:type="dxa"/>
            <w:tcBorders>
              <w:top w:val="single" w:sz="4" w:space="0" w:color="auto"/>
              <w:left w:val="single" w:sz="4" w:space="0" w:color="auto"/>
              <w:bottom w:val="dotted" w:sz="4" w:space="0" w:color="auto"/>
              <w:right w:val="dotted" w:sz="4" w:space="0" w:color="auto"/>
            </w:tcBorders>
            <w:vAlign w:val="center"/>
            <w:hideMark/>
          </w:tcPr>
          <w:p w:rsidR="004210EE" w:rsidRDefault="004210EE">
            <w:pPr>
              <w:pStyle w:val="IQB-Merkmal"/>
              <w:rPr>
                <w:rFonts w:cs="Arial"/>
              </w:rPr>
            </w:pPr>
            <w:r>
              <w:rPr>
                <w:rFonts w:cs="Arial"/>
              </w:rPr>
              <w:t>Leitidee</w:t>
            </w:r>
          </w:p>
        </w:tc>
        <w:tc>
          <w:tcPr>
            <w:tcW w:w="6605" w:type="dxa"/>
            <w:tcBorders>
              <w:top w:val="single" w:sz="4" w:space="0" w:color="auto"/>
              <w:left w:val="dotted" w:sz="4" w:space="0" w:color="auto"/>
              <w:bottom w:val="dotted" w:sz="4" w:space="0" w:color="auto"/>
              <w:right w:val="single" w:sz="4" w:space="0" w:color="auto"/>
            </w:tcBorders>
            <w:hideMark/>
          </w:tcPr>
          <w:p w:rsidR="004210EE" w:rsidRDefault="004210EE">
            <w:pPr>
              <w:pStyle w:val="IQB-Merkmalswert"/>
              <w:rPr>
                <w:rFonts w:cs="Arial"/>
              </w:rPr>
            </w:pPr>
            <w:r>
              <w:rPr>
                <w:rFonts w:cs="Arial"/>
              </w:rPr>
              <w:t>4. Funktionaler Zusammenhang</w:t>
            </w:r>
          </w:p>
        </w:tc>
      </w:tr>
      <w:tr w:rsidR="004210EE" w:rsidTr="004210EE">
        <w:tc>
          <w:tcPr>
            <w:tcW w:w="2466" w:type="dxa"/>
            <w:tcBorders>
              <w:top w:val="dotted" w:sz="4" w:space="0" w:color="auto"/>
              <w:left w:val="single" w:sz="4" w:space="0" w:color="auto"/>
              <w:bottom w:val="dotted" w:sz="4" w:space="0" w:color="auto"/>
              <w:right w:val="dotted" w:sz="4" w:space="0" w:color="auto"/>
            </w:tcBorders>
            <w:vAlign w:val="center"/>
            <w:hideMark/>
          </w:tcPr>
          <w:p w:rsidR="004210EE" w:rsidRDefault="004210EE">
            <w:pPr>
              <w:pStyle w:val="IQB-Merkmal"/>
              <w:rPr>
                <w:rFonts w:cs="Arial"/>
              </w:rPr>
            </w:pPr>
            <w:r>
              <w:rPr>
                <w:rFonts w:cs="Arial"/>
              </w:rPr>
              <w:t>Allgemeine Kompetenzen</w:t>
            </w:r>
          </w:p>
        </w:tc>
        <w:tc>
          <w:tcPr>
            <w:tcW w:w="6605" w:type="dxa"/>
            <w:tcBorders>
              <w:top w:val="dotted" w:sz="4" w:space="0" w:color="auto"/>
              <w:left w:val="dotted" w:sz="4" w:space="0" w:color="auto"/>
              <w:bottom w:val="dotted" w:sz="4" w:space="0" w:color="auto"/>
              <w:right w:val="single" w:sz="4" w:space="0" w:color="auto"/>
            </w:tcBorders>
            <w:hideMark/>
          </w:tcPr>
          <w:p w:rsidR="004210EE" w:rsidRDefault="004210EE">
            <w:pPr>
              <w:pStyle w:val="IQB-Merkmalswert"/>
              <w:rPr>
                <w:rFonts w:cs="Arial"/>
              </w:rPr>
            </w:pPr>
            <w:r>
              <w:rPr>
                <w:rFonts w:cs="Arial"/>
              </w:rPr>
              <w:t>Mathematische Darstellungen verwenden (K4)</w:t>
            </w:r>
          </w:p>
          <w:p w:rsidR="004210EE" w:rsidRDefault="004210EE">
            <w:pPr>
              <w:pStyle w:val="IQB-Merkmalswert"/>
              <w:rPr>
                <w:rFonts w:cs="Arial"/>
              </w:rPr>
            </w:pPr>
            <w:r>
              <w:rPr>
                <w:rFonts w:cs="Arial"/>
              </w:rPr>
              <w:t>Mit symbolischen, formalen und technischen Elementen der Mathematik umgehen (K5)</w:t>
            </w:r>
          </w:p>
        </w:tc>
      </w:tr>
      <w:tr w:rsidR="004210EE" w:rsidTr="004210EE">
        <w:tc>
          <w:tcPr>
            <w:tcW w:w="2466" w:type="dxa"/>
            <w:tcBorders>
              <w:top w:val="dotted" w:sz="4" w:space="0" w:color="auto"/>
              <w:left w:val="single" w:sz="4" w:space="0" w:color="auto"/>
              <w:bottom w:val="dotted" w:sz="4" w:space="0" w:color="auto"/>
              <w:right w:val="dotted" w:sz="4" w:space="0" w:color="auto"/>
            </w:tcBorders>
            <w:vAlign w:val="center"/>
            <w:hideMark/>
          </w:tcPr>
          <w:p w:rsidR="004210EE" w:rsidRDefault="004210EE">
            <w:pPr>
              <w:pStyle w:val="IQB-Merkmal"/>
              <w:rPr>
                <w:rFonts w:cs="Arial"/>
              </w:rPr>
            </w:pPr>
            <w:r>
              <w:rPr>
                <w:rFonts w:cs="Arial"/>
              </w:rPr>
              <w:t>Anforderungsbereich</w:t>
            </w:r>
          </w:p>
        </w:tc>
        <w:tc>
          <w:tcPr>
            <w:tcW w:w="6605" w:type="dxa"/>
            <w:tcBorders>
              <w:top w:val="dotted" w:sz="4" w:space="0" w:color="auto"/>
              <w:left w:val="dotted" w:sz="4" w:space="0" w:color="auto"/>
              <w:bottom w:val="dotted" w:sz="4" w:space="0" w:color="auto"/>
              <w:right w:val="single" w:sz="4" w:space="0" w:color="auto"/>
            </w:tcBorders>
            <w:hideMark/>
          </w:tcPr>
          <w:p w:rsidR="004210EE" w:rsidRDefault="004210EE">
            <w:pPr>
              <w:pStyle w:val="IQB-Merkmalswert"/>
              <w:rPr>
                <w:rFonts w:cs="Arial"/>
              </w:rPr>
            </w:pPr>
            <w:r>
              <w:rPr>
                <w:rFonts w:cs="Arial"/>
              </w:rPr>
              <w:t>II</w:t>
            </w:r>
          </w:p>
        </w:tc>
      </w:tr>
      <w:tr w:rsidR="004210EE" w:rsidTr="004210EE">
        <w:tc>
          <w:tcPr>
            <w:tcW w:w="2466" w:type="dxa"/>
            <w:tcBorders>
              <w:top w:val="dotted" w:sz="4" w:space="0" w:color="auto"/>
              <w:left w:val="single" w:sz="4" w:space="0" w:color="auto"/>
              <w:bottom w:val="single" w:sz="4" w:space="0" w:color="auto"/>
              <w:right w:val="dotted" w:sz="4" w:space="0" w:color="auto"/>
            </w:tcBorders>
            <w:vAlign w:val="center"/>
            <w:hideMark/>
          </w:tcPr>
          <w:p w:rsidR="004210EE" w:rsidRDefault="004210EE">
            <w:pPr>
              <w:pStyle w:val="IQB-Merkmal"/>
              <w:rPr>
                <w:rFonts w:cs="Arial"/>
              </w:rPr>
            </w:pPr>
            <w:r>
              <w:rPr>
                <w:rFonts w:cs="Arial"/>
              </w:rPr>
              <w:t>Kompetenzstufe</w:t>
            </w:r>
          </w:p>
        </w:tc>
        <w:tc>
          <w:tcPr>
            <w:tcW w:w="6605" w:type="dxa"/>
            <w:tcBorders>
              <w:top w:val="dotted" w:sz="4" w:space="0" w:color="auto"/>
              <w:left w:val="dotted" w:sz="4" w:space="0" w:color="auto"/>
              <w:bottom w:val="single" w:sz="4" w:space="0" w:color="auto"/>
              <w:right w:val="single" w:sz="4" w:space="0" w:color="auto"/>
            </w:tcBorders>
            <w:hideMark/>
          </w:tcPr>
          <w:p w:rsidR="004210EE" w:rsidRDefault="004210EE">
            <w:pPr>
              <w:pStyle w:val="IQB-Merkmalswert"/>
              <w:rPr>
                <w:rFonts w:cs="Arial"/>
              </w:rPr>
            </w:pPr>
            <w:r>
              <w:rPr>
                <w:rFonts w:cs="Arial"/>
              </w:rPr>
              <w:t>5</w:t>
            </w:r>
          </w:p>
        </w:tc>
      </w:tr>
    </w:tbl>
    <w:p w:rsidR="00694A63" w:rsidRPr="00694A63" w:rsidRDefault="00694A63" w:rsidP="00694A63">
      <w:pPr>
        <w:pStyle w:val="IQB-Teilaufgabentitel"/>
        <w:rPr>
          <w:b/>
        </w:rPr>
      </w:pPr>
      <w:r w:rsidRPr="00694A63">
        <w:rPr>
          <w:b/>
        </w:rPr>
        <w:t>Aufgabenbezogener Kommentar</w:t>
      </w:r>
    </w:p>
    <w:p w:rsidR="004210EE" w:rsidRDefault="004210EE" w:rsidP="004210EE">
      <w:pPr>
        <w:pStyle w:val="IQB-AnweisungenText"/>
        <w:spacing w:before="0"/>
        <w:rPr>
          <w:rFonts w:ascii="Arial" w:hAnsi="Arial"/>
          <w:sz w:val="22"/>
          <w:szCs w:val="22"/>
        </w:rPr>
      </w:pPr>
      <w:r>
        <w:rPr>
          <w:rFonts w:ascii="Arial" w:hAnsi="Arial"/>
          <w:sz w:val="22"/>
          <w:szCs w:val="22"/>
        </w:rPr>
        <w:t xml:space="preserve">In dieser Aufgabe geht es um eine Zuordnung zwischen mathematischen Größen in Form der Maßstabrechnung. Daher ist sie der Leitidee </w:t>
      </w:r>
      <w:r>
        <w:rPr>
          <w:rFonts w:ascii="Arial" w:hAnsi="Arial"/>
          <w:i/>
          <w:sz w:val="22"/>
          <w:szCs w:val="22"/>
        </w:rPr>
        <w:t xml:space="preserve">Funktionaler Zusammenhang </w:t>
      </w:r>
      <w:r>
        <w:rPr>
          <w:rFonts w:ascii="Arial" w:hAnsi="Arial"/>
          <w:sz w:val="22"/>
          <w:szCs w:val="22"/>
        </w:rPr>
        <w:t xml:space="preserve">(L4) zugeordnet. </w:t>
      </w:r>
    </w:p>
    <w:p w:rsidR="004210EE" w:rsidRDefault="004210EE" w:rsidP="004210EE">
      <w:pPr>
        <w:pStyle w:val="IQB-AnweisungenText"/>
        <w:rPr>
          <w:rFonts w:ascii="Arial" w:hAnsi="Arial"/>
          <w:sz w:val="22"/>
          <w:szCs w:val="22"/>
        </w:rPr>
      </w:pPr>
      <w:r>
        <w:rPr>
          <w:rFonts w:ascii="Arial" w:hAnsi="Arial"/>
          <w:sz w:val="22"/>
          <w:szCs w:val="22"/>
        </w:rPr>
        <w:t xml:space="preserve">Schülerinnen und Schüler müssen mit einer Darstellung aus dem Atlas umgehen (K4) und diese interpretieren. Um zu beurteilen, welcher Maßstab passend ist, wird von Zentimeter in Meter umgerechnet und somit eine Operation mit Maßeinheiten ausgeführt (K5). </w:t>
      </w:r>
    </w:p>
    <w:p w:rsidR="004210EE" w:rsidRDefault="004210EE" w:rsidP="004210EE">
      <w:pPr>
        <w:pStyle w:val="IQB-AnweisungenText"/>
        <w:rPr>
          <w:rFonts w:ascii="Arial" w:hAnsi="Arial"/>
          <w:sz w:val="22"/>
          <w:szCs w:val="22"/>
        </w:rPr>
      </w:pPr>
      <w:r>
        <w:rPr>
          <w:rFonts w:ascii="Arial" w:hAnsi="Arial"/>
          <w:sz w:val="22"/>
          <w:szCs w:val="22"/>
        </w:rPr>
        <w:t xml:space="preserve">Die Schülerinnen und Schüler müssen einen mehrschrittigen Lösungsweg bewältigen, da das Verhältnis zweier Größenangaben als Maßstab interpretiert wird. Daher ist die Aufgabe dem Anforderungsbereich II zugeordnet. </w:t>
      </w:r>
    </w:p>
    <w:p w:rsidR="00694A63" w:rsidRPr="00694A63" w:rsidRDefault="00694A63" w:rsidP="00694A63">
      <w:pPr>
        <w:pStyle w:val="IQB-Teilaufgabentitel"/>
        <w:rPr>
          <w:b/>
        </w:rPr>
      </w:pPr>
      <w:r w:rsidRPr="00694A63">
        <w:rPr>
          <w:b/>
        </w:rPr>
        <w:t>Anregungen für den Unterricht</w:t>
      </w:r>
    </w:p>
    <w:p w:rsidR="004210EE" w:rsidRDefault="004210EE" w:rsidP="004210EE">
      <w:pPr>
        <w:pStyle w:val="IQB-AnweisungenText"/>
        <w:spacing w:before="0"/>
        <w:rPr>
          <w:rFonts w:ascii="Arial" w:hAnsi="Arial"/>
          <w:sz w:val="22"/>
          <w:szCs w:val="22"/>
        </w:rPr>
      </w:pPr>
      <w:r>
        <w:rPr>
          <w:rFonts w:ascii="Arial" w:hAnsi="Arial"/>
          <w:sz w:val="22"/>
          <w:szCs w:val="22"/>
        </w:rPr>
        <w:t>Im Unterricht könnte die Aufgabe dahingehend vertieft werden, dass eine gegebene Länge auf einer Landkarte mithilfe der Maßstabsleiste in eine reale Länge umgerechnet wird. Weiterhin könnten Schülerinnen und Schüler dazu aufgefordert werden, zu einem gege</w:t>
      </w:r>
      <w:bookmarkStart w:id="0" w:name="_GoBack"/>
      <w:bookmarkEnd w:id="0"/>
      <w:r>
        <w:rPr>
          <w:rFonts w:ascii="Arial" w:hAnsi="Arial"/>
          <w:sz w:val="22"/>
          <w:szCs w:val="22"/>
        </w:rPr>
        <w:t>benen Maßstab eine Maßstabsleiste zu erstellen. Die Aufgabe könnte dahingehend geöffnet werden, dass weder Maßstabsleiste noch Maßstab zu einer Landkarte (</w:t>
      </w:r>
      <w:r>
        <w:rPr>
          <w:rFonts w:ascii="Arial" w:hAnsi="Arial"/>
          <w:color w:val="000000"/>
          <w:sz w:val="22"/>
          <w:szCs w:val="22"/>
        </w:rPr>
        <w:t>z.</w:t>
      </w:r>
      <w:r>
        <w:rPr>
          <w:rFonts w:ascii="Arial" w:hAnsi="Arial"/>
          <w:color w:val="000000"/>
          <w:sz w:val="12"/>
          <w:szCs w:val="12"/>
        </w:rPr>
        <w:t> </w:t>
      </w:r>
      <w:r>
        <w:rPr>
          <w:rFonts w:ascii="Arial" w:hAnsi="Arial"/>
          <w:color w:val="000000"/>
          <w:sz w:val="22"/>
          <w:szCs w:val="22"/>
        </w:rPr>
        <w:t>B.</w:t>
      </w:r>
      <w:r>
        <w:rPr>
          <w:rFonts w:ascii="Arial" w:hAnsi="Arial"/>
          <w:sz w:val="22"/>
          <w:szCs w:val="22"/>
        </w:rPr>
        <w:t xml:space="preserve"> von Deutsch-land) angegeben werden und Schülerinnen durch Abschätzungen den verwendeten Maßstab ermitteln.</w:t>
      </w:r>
    </w:p>
    <w:p w:rsidR="00694A63" w:rsidRPr="0037174F" w:rsidRDefault="00694A63" w:rsidP="004210EE">
      <w:pPr>
        <w:pStyle w:val="IQB-AnweisungenText"/>
        <w:spacing w:before="0" w:after="60"/>
        <w:rPr>
          <w:b/>
        </w:rPr>
      </w:pPr>
    </w:p>
    <w:sectPr w:rsidR="00694A63" w:rsidRPr="0037174F"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1535E785-A35C-415D-99FD-33138DE672BE}"/>
    <w:embedBold r:id="rId2" w:fontKey="{AD459313-484E-4C6C-87A6-2B35E48A9469}"/>
    <w:embedItalic r:id="rId3" w:fontKey="{974053C2-71E3-477F-9FE6-96CD2AE87990}"/>
    <w:embedBoldItalic r:id="rId4" w:fontKey="{2D290462-413E-4452-A56C-F1705B41B1C5}"/>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44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34D9"/>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0F54"/>
    <w:rsid w:val="0021671D"/>
    <w:rsid w:val="00220FFD"/>
    <w:rsid w:val="002265B7"/>
    <w:rsid w:val="00226C04"/>
    <w:rsid w:val="00255EFD"/>
    <w:rsid w:val="0026784F"/>
    <w:rsid w:val="00274614"/>
    <w:rsid w:val="00296BA4"/>
    <w:rsid w:val="002D1B6E"/>
    <w:rsid w:val="002F756E"/>
    <w:rsid w:val="00304067"/>
    <w:rsid w:val="00304DCD"/>
    <w:rsid w:val="00322872"/>
    <w:rsid w:val="003375B2"/>
    <w:rsid w:val="00363F67"/>
    <w:rsid w:val="0037174F"/>
    <w:rsid w:val="00374ED9"/>
    <w:rsid w:val="003A1C8B"/>
    <w:rsid w:val="003A496B"/>
    <w:rsid w:val="003C0E87"/>
    <w:rsid w:val="003C7D61"/>
    <w:rsid w:val="003D7948"/>
    <w:rsid w:val="003F0014"/>
    <w:rsid w:val="003F7333"/>
    <w:rsid w:val="004210EE"/>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C077E"/>
    <w:rsid w:val="00DD3C5F"/>
    <w:rsid w:val="00DE1076"/>
    <w:rsid w:val="00DE3D52"/>
    <w:rsid w:val="00DF532B"/>
    <w:rsid w:val="00EA71E2"/>
    <w:rsid w:val="00EC34A6"/>
    <w:rsid w:val="00ED2D11"/>
    <w:rsid w:val="00F0154F"/>
    <w:rsid w:val="00F26733"/>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449"/>
    <o:shapelayout v:ext="edit">
      <o:idmap v:ext="edit" data="1"/>
    </o:shapelayout>
  </w:shapeDefaults>
  <w:decimalSymbol w:val=","/>
  <w:listSeparator w:val=";"/>
  <w14:docId w14:val="13411D88"/>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character" w:styleId="Hyperlink">
    <w:name w:val="Hyperlink"/>
    <w:uiPriority w:val="99"/>
    <w:unhideWhenUsed/>
    <w:rsid w:val="00DC077E"/>
    <w:rPr>
      <w:color w:val="0000FF"/>
      <w:u w:val="single"/>
    </w:rPr>
  </w:style>
  <w:style w:type="paragraph" w:styleId="Funotentext">
    <w:name w:val="footnote text"/>
    <w:basedOn w:val="Standard"/>
    <w:link w:val="FunotentextZchn"/>
    <w:rsid w:val="00DC077E"/>
    <w:rPr>
      <w:rFonts w:ascii="Arial" w:hAnsi="Arial"/>
      <w:sz w:val="20"/>
      <w:szCs w:val="20"/>
      <w:lang w:val="x-none" w:eastAsia="x-none"/>
    </w:rPr>
  </w:style>
  <w:style w:type="character" w:customStyle="1" w:styleId="FunotentextZchn">
    <w:name w:val="Fußnotentext Zchn"/>
    <w:basedOn w:val="Absatz-Standardschriftart"/>
    <w:link w:val="Funotentext"/>
    <w:rsid w:val="00DC077E"/>
    <w:rPr>
      <w:rFonts w:ascii="Arial" w:hAnsi="Arial"/>
      <w:lang w:val="x-none" w:eastAsia="x-none"/>
    </w:rPr>
  </w:style>
  <w:style w:type="character" w:styleId="Funotenzeichen">
    <w:name w:val="footnote reference"/>
    <w:rsid w:val="00DC077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3253937">
      <w:bodyDiv w:val="1"/>
      <w:marLeft w:val="0"/>
      <w:marRight w:val="0"/>
      <w:marTop w:val="0"/>
      <w:marBottom w:val="0"/>
      <w:divBdr>
        <w:top w:val="none" w:sz="0" w:space="0" w:color="auto"/>
        <w:left w:val="none" w:sz="0" w:space="0" w:color="auto"/>
        <w:bottom w:val="none" w:sz="0" w:space="0" w:color="auto"/>
        <w:right w:val="none" w:sz="0" w:space="0" w:color="auto"/>
      </w:divBdr>
    </w:div>
    <w:div w:id="275452518">
      <w:bodyDiv w:val="1"/>
      <w:marLeft w:val="0"/>
      <w:marRight w:val="0"/>
      <w:marTop w:val="0"/>
      <w:marBottom w:val="0"/>
      <w:divBdr>
        <w:top w:val="none" w:sz="0" w:space="0" w:color="auto"/>
        <w:left w:val="none" w:sz="0" w:space="0" w:color="auto"/>
        <w:bottom w:val="none" w:sz="0" w:space="0" w:color="auto"/>
        <w:right w:val="none" w:sz="0" w:space="0" w:color="auto"/>
      </w:divBdr>
    </w:div>
    <w:div w:id="414476348">
      <w:bodyDiv w:val="1"/>
      <w:marLeft w:val="0"/>
      <w:marRight w:val="0"/>
      <w:marTop w:val="0"/>
      <w:marBottom w:val="0"/>
      <w:divBdr>
        <w:top w:val="none" w:sz="0" w:space="0" w:color="auto"/>
        <w:left w:val="none" w:sz="0" w:space="0" w:color="auto"/>
        <w:bottom w:val="none" w:sz="0" w:space="0" w:color="auto"/>
        <w:right w:val="none" w:sz="0" w:space="0" w:color="auto"/>
      </w:divBdr>
    </w:div>
    <w:div w:id="422653304">
      <w:bodyDiv w:val="1"/>
      <w:marLeft w:val="0"/>
      <w:marRight w:val="0"/>
      <w:marTop w:val="0"/>
      <w:marBottom w:val="0"/>
      <w:divBdr>
        <w:top w:val="none" w:sz="0" w:space="0" w:color="auto"/>
        <w:left w:val="none" w:sz="0" w:space="0" w:color="auto"/>
        <w:bottom w:val="none" w:sz="0" w:space="0" w:color="auto"/>
        <w:right w:val="none" w:sz="0" w:space="0" w:color="auto"/>
      </w:divBdr>
    </w:div>
    <w:div w:id="454254755">
      <w:bodyDiv w:val="1"/>
      <w:marLeft w:val="0"/>
      <w:marRight w:val="0"/>
      <w:marTop w:val="0"/>
      <w:marBottom w:val="0"/>
      <w:divBdr>
        <w:top w:val="none" w:sz="0" w:space="0" w:color="auto"/>
        <w:left w:val="none" w:sz="0" w:space="0" w:color="auto"/>
        <w:bottom w:val="none" w:sz="0" w:space="0" w:color="auto"/>
        <w:right w:val="none" w:sz="0" w:space="0" w:color="auto"/>
      </w:divBdr>
    </w:div>
    <w:div w:id="474880572">
      <w:bodyDiv w:val="1"/>
      <w:marLeft w:val="0"/>
      <w:marRight w:val="0"/>
      <w:marTop w:val="0"/>
      <w:marBottom w:val="0"/>
      <w:divBdr>
        <w:top w:val="none" w:sz="0" w:space="0" w:color="auto"/>
        <w:left w:val="none" w:sz="0" w:space="0" w:color="auto"/>
        <w:bottom w:val="none" w:sz="0" w:space="0" w:color="auto"/>
        <w:right w:val="none" w:sz="0" w:space="0" w:color="auto"/>
      </w:divBdr>
    </w:div>
    <w:div w:id="678654926">
      <w:bodyDiv w:val="1"/>
      <w:marLeft w:val="0"/>
      <w:marRight w:val="0"/>
      <w:marTop w:val="0"/>
      <w:marBottom w:val="0"/>
      <w:divBdr>
        <w:top w:val="none" w:sz="0" w:space="0" w:color="auto"/>
        <w:left w:val="none" w:sz="0" w:space="0" w:color="auto"/>
        <w:bottom w:val="none" w:sz="0" w:space="0" w:color="auto"/>
        <w:right w:val="none" w:sz="0" w:space="0" w:color="auto"/>
      </w:divBdr>
    </w:div>
    <w:div w:id="682392394">
      <w:bodyDiv w:val="1"/>
      <w:marLeft w:val="0"/>
      <w:marRight w:val="0"/>
      <w:marTop w:val="0"/>
      <w:marBottom w:val="0"/>
      <w:divBdr>
        <w:top w:val="none" w:sz="0" w:space="0" w:color="auto"/>
        <w:left w:val="none" w:sz="0" w:space="0" w:color="auto"/>
        <w:bottom w:val="none" w:sz="0" w:space="0" w:color="auto"/>
        <w:right w:val="none" w:sz="0" w:space="0" w:color="auto"/>
      </w:divBdr>
    </w:div>
    <w:div w:id="968785707">
      <w:bodyDiv w:val="1"/>
      <w:marLeft w:val="0"/>
      <w:marRight w:val="0"/>
      <w:marTop w:val="0"/>
      <w:marBottom w:val="0"/>
      <w:divBdr>
        <w:top w:val="none" w:sz="0" w:space="0" w:color="auto"/>
        <w:left w:val="none" w:sz="0" w:space="0" w:color="auto"/>
        <w:bottom w:val="none" w:sz="0" w:space="0" w:color="auto"/>
        <w:right w:val="none" w:sz="0" w:space="0" w:color="auto"/>
      </w:divBdr>
    </w:div>
    <w:div w:id="1527602785">
      <w:bodyDiv w:val="1"/>
      <w:marLeft w:val="0"/>
      <w:marRight w:val="0"/>
      <w:marTop w:val="0"/>
      <w:marBottom w:val="0"/>
      <w:divBdr>
        <w:top w:val="none" w:sz="0" w:space="0" w:color="auto"/>
        <w:left w:val="none" w:sz="0" w:space="0" w:color="auto"/>
        <w:bottom w:val="none" w:sz="0" w:space="0" w:color="auto"/>
        <w:right w:val="none" w:sz="0" w:space="0" w:color="auto"/>
      </w:divBdr>
    </w:div>
    <w:div w:id="1866868000">
      <w:bodyDiv w:val="1"/>
      <w:marLeft w:val="0"/>
      <w:marRight w:val="0"/>
      <w:marTop w:val="0"/>
      <w:marBottom w:val="0"/>
      <w:divBdr>
        <w:top w:val="none" w:sz="0" w:space="0" w:color="auto"/>
        <w:left w:val="none" w:sz="0" w:space="0" w:color="auto"/>
        <w:bottom w:val="none" w:sz="0" w:space="0" w:color="auto"/>
        <w:right w:val="none" w:sz="0" w:space="0" w:color="auto"/>
      </w:divBdr>
    </w:div>
    <w:div w:id="1915816815">
      <w:bodyDiv w:val="1"/>
      <w:marLeft w:val="0"/>
      <w:marRight w:val="0"/>
      <w:marTop w:val="0"/>
      <w:marBottom w:val="0"/>
      <w:divBdr>
        <w:top w:val="none" w:sz="0" w:space="0" w:color="auto"/>
        <w:left w:val="none" w:sz="0" w:space="0" w:color="auto"/>
        <w:bottom w:val="none" w:sz="0" w:space="0" w:color="auto"/>
        <w:right w:val="none" w:sz="0" w:space="0" w:color="auto"/>
      </w:divBdr>
    </w:div>
    <w:div w:id="2034652611">
      <w:bodyDiv w:val="1"/>
      <w:marLeft w:val="0"/>
      <w:marRight w:val="0"/>
      <w:marTop w:val="0"/>
      <w:marBottom w:val="0"/>
      <w:divBdr>
        <w:top w:val="none" w:sz="0" w:space="0" w:color="auto"/>
        <w:left w:val="none" w:sz="0" w:space="0" w:color="auto"/>
        <w:bottom w:val="none" w:sz="0" w:space="0" w:color="auto"/>
        <w:right w:val="none" w:sz="0" w:space="0" w:color="auto"/>
      </w:divBdr>
    </w:div>
    <w:div w:id="2070373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CAEC79-4A23-4C2D-8A47-986CD9B0A5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187</Words>
  <Characters>1310</Characters>
  <Application>Microsoft Office Word</Application>
  <DocSecurity>0</DocSecurity>
  <Lines>24</Lines>
  <Paragraphs>11</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1486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2025-07-21T11:07:00Z</dcterms:created>
  <dcterms:modified xsi:type="dcterms:W3CDTF">2025-07-21T11:07:00Z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